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D14" w:rsidRPr="00105D14" w:rsidRDefault="00105D14" w:rsidP="00105D14">
      <w:pPr>
        <w:widowControl/>
        <w:spacing w:line="1040" w:lineRule="atLeast"/>
        <w:jc w:val="center"/>
        <w:rPr>
          <w:rFonts w:ascii="Tahoma" w:eastAsia="宋体" w:hAnsi="Tahoma" w:cs="Tahoma"/>
          <w:kern w:val="0"/>
          <w:szCs w:val="21"/>
        </w:rPr>
      </w:pPr>
      <w:r w:rsidRPr="00105D14">
        <w:rPr>
          <w:rFonts w:ascii="Tahoma" w:eastAsia="宋体" w:hAnsi="Tahoma" w:cs="Tahoma"/>
          <w:color w:val="FF0000"/>
          <w:spacing w:val="60"/>
          <w:kern w:val="0"/>
          <w:sz w:val="100"/>
          <w:szCs w:val="100"/>
        </w:rPr>
        <w:t>南通大学文件</w:t>
      </w:r>
    </w:p>
    <w:p w:rsidR="00105D14" w:rsidRPr="00105D14" w:rsidRDefault="00105D14" w:rsidP="00105D14">
      <w:pPr>
        <w:widowControl/>
        <w:spacing w:line="640" w:lineRule="atLeast"/>
        <w:jc w:val="left"/>
        <w:rPr>
          <w:rFonts w:ascii="Tahoma" w:eastAsia="宋体" w:hAnsi="Tahoma" w:cs="Tahoma"/>
          <w:kern w:val="0"/>
          <w:szCs w:val="21"/>
        </w:rPr>
      </w:pPr>
      <w:bookmarkStart w:id="0" w:name="zhengwen"/>
      <w:r w:rsidRPr="00105D14">
        <w:rPr>
          <w:rFonts w:ascii="Tahoma" w:eastAsia="宋体" w:hAnsi="Tahoma" w:cs="Tahoma"/>
          <w:kern w:val="0"/>
          <w:szCs w:val="21"/>
        </w:rPr>
        <w:t> </w:t>
      </w:r>
      <w:bookmarkEnd w:id="0"/>
    </w:p>
    <w:p w:rsidR="00105D14" w:rsidRPr="00105D14" w:rsidRDefault="00105D14" w:rsidP="00105D14">
      <w:pPr>
        <w:widowControl/>
        <w:spacing w:line="640" w:lineRule="atLeast"/>
        <w:jc w:val="left"/>
        <w:rPr>
          <w:rFonts w:ascii="Tahoma" w:eastAsia="宋体" w:hAnsi="Tahoma" w:cs="Tahoma"/>
          <w:kern w:val="0"/>
          <w:szCs w:val="21"/>
        </w:rPr>
      </w:pPr>
      <w:r w:rsidRPr="00105D14">
        <w:rPr>
          <w:rFonts w:ascii="Tahoma" w:eastAsia="宋体" w:hAnsi="Tahoma" w:cs="Tahoma"/>
          <w:kern w:val="0"/>
          <w:szCs w:val="21"/>
        </w:rPr>
        <w:t> </w:t>
      </w:r>
    </w:p>
    <w:p w:rsidR="00105D14" w:rsidRPr="00105D14" w:rsidRDefault="00105D14" w:rsidP="00105D14">
      <w:pPr>
        <w:widowControl/>
        <w:jc w:val="left"/>
        <w:rPr>
          <w:rFonts w:ascii="Tahoma" w:eastAsia="宋体" w:hAnsi="Tahoma" w:cs="Tahoma"/>
          <w:kern w:val="0"/>
          <w:szCs w:val="21"/>
        </w:rPr>
      </w:pPr>
      <w:r w:rsidRPr="00105D14">
        <w:rPr>
          <w:rFonts w:ascii="Tahoma" w:eastAsia="宋体" w:hAnsi="Tahoma" w:cs="Tahoma"/>
          <w:kern w:val="0"/>
          <w:szCs w:val="21"/>
        </w:rPr>
        <w:br w:type="textWrapping" w:clear="all"/>
      </w:r>
    </w:p>
    <w:p w:rsidR="00105D14" w:rsidRPr="00105D14" w:rsidRDefault="00105D14" w:rsidP="00105D14">
      <w:pPr>
        <w:widowControl/>
        <w:spacing w:line="460" w:lineRule="atLeast"/>
        <w:jc w:val="center"/>
        <w:rPr>
          <w:rFonts w:ascii="Tahoma" w:eastAsia="宋体" w:hAnsi="Tahoma" w:cs="Tahoma" w:hint="eastAsia"/>
          <w:kern w:val="0"/>
          <w:szCs w:val="21"/>
        </w:rPr>
      </w:pPr>
      <w:r w:rsidRPr="00105D14">
        <w:rPr>
          <w:rFonts w:ascii="Tahoma" w:eastAsia="宋体" w:hAnsi="Tahoma" w:cs="Tahoma"/>
          <w:kern w:val="0"/>
          <w:szCs w:val="21"/>
        </w:rPr>
        <w:t>通大〔</w:t>
      </w:r>
      <w:r w:rsidRPr="00105D14">
        <w:rPr>
          <w:rFonts w:ascii="Tahoma" w:eastAsia="宋体" w:hAnsi="Tahoma" w:cs="Tahoma"/>
          <w:kern w:val="0"/>
          <w:szCs w:val="21"/>
        </w:rPr>
        <w:t>2010</w:t>
      </w:r>
      <w:r w:rsidRPr="00105D14">
        <w:rPr>
          <w:rFonts w:ascii="Tahoma" w:eastAsia="宋体" w:hAnsi="Tahoma" w:cs="Tahoma"/>
          <w:kern w:val="0"/>
          <w:szCs w:val="21"/>
        </w:rPr>
        <w:t>〕</w:t>
      </w:r>
      <w:r w:rsidRPr="00105D14">
        <w:rPr>
          <w:rFonts w:ascii="Tahoma" w:eastAsia="宋体" w:hAnsi="Tahoma" w:cs="Tahoma"/>
          <w:kern w:val="0"/>
          <w:szCs w:val="21"/>
        </w:rPr>
        <w:t>18</w:t>
      </w:r>
      <w:r w:rsidRPr="00105D14">
        <w:rPr>
          <w:rFonts w:ascii="Tahoma" w:eastAsia="宋体" w:hAnsi="Tahoma" w:cs="Tahoma"/>
          <w:kern w:val="0"/>
          <w:szCs w:val="21"/>
        </w:rPr>
        <w:t>号</w:t>
      </w:r>
    </w:p>
    <w:p w:rsidR="00105D14" w:rsidRPr="00105D14" w:rsidRDefault="00105D14" w:rsidP="00105D14">
      <w:pPr>
        <w:widowControl/>
        <w:spacing w:line="560" w:lineRule="atLeast"/>
        <w:jc w:val="center"/>
        <w:rPr>
          <w:rFonts w:ascii="Tahoma" w:eastAsia="宋体" w:hAnsi="Tahoma" w:cs="Tahoma"/>
          <w:kern w:val="0"/>
          <w:szCs w:val="21"/>
        </w:rPr>
      </w:pPr>
      <w:r w:rsidRPr="00105D14">
        <w:rPr>
          <w:rFonts w:ascii="Tahoma" w:eastAsia="宋体" w:hAnsi="Tahoma" w:cs="Tahoma"/>
          <w:kern w:val="0"/>
          <w:szCs w:val="21"/>
        </w:rPr>
        <w:t> </w:t>
      </w:r>
    </w:p>
    <w:p w:rsidR="00105D14" w:rsidRPr="00105D14" w:rsidRDefault="00105D14" w:rsidP="00105D14">
      <w:pPr>
        <w:widowControl/>
        <w:spacing w:line="560" w:lineRule="atLeast"/>
        <w:jc w:val="center"/>
        <w:rPr>
          <w:rFonts w:ascii="Tahoma" w:eastAsia="宋体" w:hAnsi="Tahoma" w:cs="Tahoma"/>
          <w:kern w:val="0"/>
          <w:szCs w:val="21"/>
        </w:rPr>
      </w:pPr>
      <w:r w:rsidRPr="00105D14">
        <w:rPr>
          <w:rFonts w:ascii="Tahoma" w:eastAsia="宋体" w:hAnsi="Tahoma" w:cs="Tahoma"/>
          <w:kern w:val="0"/>
          <w:szCs w:val="21"/>
        </w:rPr>
        <w:t> </w:t>
      </w:r>
    </w:p>
    <w:p w:rsidR="00105D14" w:rsidRPr="00105D14" w:rsidRDefault="00105D14" w:rsidP="00105D14">
      <w:pPr>
        <w:widowControl/>
        <w:jc w:val="center"/>
        <w:rPr>
          <w:rFonts w:ascii="Tahoma" w:eastAsia="宋体" w:hAnsi="Tahoma" w:cs="Tahoma"/>
          <w:kern w:val="0"/>
          <w:szCs w:val="21"/>
        </w:rPr>
      </w:pPr>
      <w:r w:rsidRPr="00105D14">
        <w:rPr>
          <w:rFonts w:ascii="宋体" w:eastAsia="宋体" w:hAnsi="宋体" w:cs="Tahoma" w:hint="eastAsia"/>
          <w:b/>
          <w:bCs/>
          <w:kern w:val="0"/>
          <w:sz w:val="36"/>
          <w:szCs w:val="36"/>
        </w:rPr>
        <w:t>关于坚持科学发展 加强内涵建设</w:t>
      </w:r>
    </w:p>
    <w:p w:rsidR="00105D14" w:rsidRPr="00105D14" w:rsidRDefault="00105D14" w:rsidP="00105D14">
      <w:pPr>
        <w:widowControl/>
        <w:jc w:val="center"/>
        <w:rPr>
          <w:rFonts w:ascii="Tahoma" w:eastAsia="宋体" w:hAnsi="Tahoma" w:cs="Tahoma"/>
          <w:kern w:val="0"/>
          <w:szCs w:val="21"/>
        </w:rPr>
      </w:pPr>
      <w:r w:rsidRPr="00105D14">
        <w:rPr>
          <w:rFonts w:ascii="宋体" w:eastAsia="宋体" w:hAnsi="宋体" w:cs="Tahoma" w:hint="eastAsia"/>
          <w:b/>
          <w:bCs/>
          <w:kern w:val="0"/>
          <w:sz w:val="36"/>
          <w:szCs w:val="36"/>
        </w:rPr>
        <w:t>提高本科教学质量的若干意见</w:t>
      </w:r>
    </w:p>
    <w:p w:rsidR="00105D14" w:rsidRPr="00105D14" w:rsidRDefault="00105D14" w:rsidP="00105D14">
      <w:pPr>
        <w:widowControl/>
        <w:ind w:firstLine="632"/>
        <w:jc w:val="left"/>
        <w:rPr>
          <w:rFonts w:ascii="Tahoma" w:eastAsia="宋体" w:hAnsi="Tahoma" w:cs="Tahoma" w:hint="eastAsia"/>
          <w:kern w:val="0"/>
          <w:szCs w:val="21"/>
        </w:rPr>
      </w:pPr>
      <w:r w:rsidRPr="00105D14">
        <w:rPr>
          <w:rFonts w:ascii="Tahoma" w:eastAsia="宋体" w:hAnsi="Tahoma" w:cs="Tahoma"/>
          <w:b/>
          <w:bCs/>
          <w:kern w:val="0"/>
          <w:szCs w:val="21"/>
        </w:rPr>
        <w:t> </w:t>
      </w:r>
      <w:bookmarkStart w:id="1" w:name="_GoBack"/>
      <w:bookmarkEnd w:id="1"/>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为主动适应高等教育大众化、国际化和特色化发展的新形势，满足地方经济社会发展的要求，抓住沿江沿海开发战略实施的历史机遇，进一步贯彻教育部《关于实施高等学校本科教学质量与教学改革工程意见》精神，落实科学发展观，加强内涵建设，进一步深入推进教学质量与教学改革工程，全面提高教育教学质量，培养高素质创新型人才，实现学校第一次党代会提出的建设发展目标，特提出如下意见。</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b/>
          <w:bCs/>
          <w:kern w:val="0"/>
          <w:sz w:val="32"/>
          <w:szCs w:val="32"/>
        </w:rPr>
        <w:t>一、指导思想</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1．今后一个时期，学校将把进一步推进教学质量与教学改革工程，改革创新人才培养模式，提高教育教学质量作为教学工作的目标和主要任务，有效推进学校由教学型向教</w:t>
      </w:r>
      <w:r w:rsidRPr="00105D14">
        <w:rPr>
          <w:rFonts w:ascii="仿宋" w:eastAsia="仿宋" w:hAnsi="仿宋" w:cs="Tahoma" w:hint="eastAsia"/>
          <w:kern w:val="0"/>
          <w:sz w:val="32"/>
          <w:szCs w:val="32"/>
        </w:rPr>
        <w:lastRenderedPageBreak/>
        <w:t>学研究型的历史性过渡。以科学发展观统领全局，进一步解放思想，更新教育理念，坚持教学工作的中心地位和教学改革的核心地位，以提高教学质量为目标，全面推进教学质量与教学改革工程；坚持以人为本的理念，深化人才培养模式改革，锐意创新，在遵循人才培养规律的基础上，紧密结合地方经济建设和社会发展需要，探索高等教育大众化背景下精英人才培养和应用性人才培养的有效途径；坚持以人才培养为根本任务，以学科建设为龙头，以社会需求为导向，全面推进学科专业一体化建设，进一步强化学科支撑作用，全面提高教学质量、学术水平和服务社会的能力。</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b/>
          <w:bCs/>
          <w:kern w:val="0"/>
          <w:sz w:val="32"/>
          <w:szCs w:val="32"/>
        </w:rPr>
        <w:t>二、工作思路</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2．进一步明确“质量立校、人才强校、特色名校、文化兴校”的办学思路，以提高本科教学质量为目标，以推进改革和实现优质资源共享为手段，以“提升内涵，强化特色，重在改革”为基本原则，加大教学质量与教学改革工程的推进力度，高起点、高层次、高质量推进教学质量工程项目培育计划，有效促进教学质量持续稳步提高。</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3．着眼于国家现代化建设和人的全面发展需要，坚持传授知识、培养能力、提高素质、协调发展，更加注重能力培养，努力提高大学生的学习能力、实践能力和创新能力，全面提高综合素质。通过推进人才培养模式改革，创新教育</w:t>
      </w:r>
      <w:r w:rsidRPr="00105D14">
        <w:rPr>
          <w:rFonts w:ascii="仿宋" w:eastAsia="仿宋" w:hAnsi="仿宋" w:cs="Tahoma" w:hint="eastAsia"/>
          <w:kern w:val="0"/>
          <w:sz w:val="32"/>
          <w:szCs w:val="32"/>
        </w:rPr>
        <w:lastRenderedPageBreak/>
        <w:t>理念，以教学方式方法改革为核心，深化教学内容与课程体系改革，构建创新人才培养的新体系。</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4．围绕南通大学第一次党代会提出的发展思路、奋斗目标和主要任务，推进学科专业一体化建设，教学科研互补，强化学科支撑，把学科优势转化为专业优势，通过学科建设提升专业建设的水平，建立起学科建设与专业建设互动的导向机制和相互促进的运行机制。按照优势突出、特色鲜明、新兴交叉、社会急需的原则，进一步强化品牌特色专业建设；以社会需求为导向，根据科学技术发展的特点，紧密结合高等教育改革发展的实际，积极调整和优化专业结构，提高专业建设的整体水平，增强办学实力。</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b/>
          <w:bCs/>
          <w:kern w:val="0"/>
          <w:sz w:val="32"/>
          <w:szCs w:val="32"/>
        </w:rPr>
        <w:t>三、实施意见</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5．深入开展新一轮教育思想的学习讨论活动。认真研究新形势下高等教育改革发展的新趋势、新理念、新特点和新要求，认真研究高等教育大众化、国际化、特色化、多元化的发展趋势，更新教育思想观念，用现代教育观、人才观、质量观武装头脑，指导教育教学改革的实践。牢固树立“人才培养是学校的根本任务，教育教学质量是学校的生命线”的意识。</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坚持以学生为本，改革创新人才培养模式，全面推进素质教育，为学生成才奠定坚实的基础；坚持以教师为本，不断完善教师培养和管理制度，努力建设一支教育理念新、教</w:t>
      </w:r>
      <w:r w:rsidRPr="00105D14">
        <w:rPr>
          <w:rFonts w:ascii="仿宋" w:eastAsia="仿宋" w:hAnsi="仿宋" w:cs="Tahoma" w:hint="eastAsia"/>
          <w:kern w:val="0"/>
          <w:sz w:val="32"/>
          <w:szCs w:val="32"/>
        </w:rPr>
        <w:lastRenderedPageBreak/>
        <w:t>学能力强、学术水平高，德才兼备的高素质师资队伍；坚持以教学质量为本，进一步增强教学质量的生命线意识，追求高质量的本科教学；坚持以人才培养为本，深化教育教学改革，推进体制机制创新，营造良好的教书育人环境。要在科学发展观的指导下，充分解放思想，切实转变观念，激发起改革创新的热情，以全新的理念、良好的心态、清晰的思路、有力的举措，努力实现第一次党代会提出的奋斗目标。</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6．进一步牢固确立教学工作的中心地位，强化人才培养质量是学校生命线的观念，及时研究解决本科教学工作中的新情况、新问题，不断推进观念创新、制度创新。正确处理好教学、科研和社会服务三者之间的辨证关系，建设本科教学一流的有博士学位授予权的高校。认真研究、解决客观上存在的教学与科研关系的矛盾和问题，改革教学和科研的考核评价方法，在评先评优、职务晋升、教学奖励等工作中，强化教学工作的硬性指标。做到教学工作与科研工作一视同仁，教学研究项目与科学研究项目一视同仁，教学成果与科研成果一视同仁，专业带头人与学科带头人一视同仁。</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7．继续推进教学质量与教学改革工程，建立和完善项目继续建设和成果培育机制。以“明确目标，提高水平，提升层次；立足培育，加大投入，建设精品”为基本原则，加快推进培育工程，集中优势，增强辐射，追求卓越，形成一批有较高水平、有特色优势、有较强竞争力的成果，以此引导教</w:t>
      </w:r>
      <w:r w:rsidRPr="00105D14">
        <w:rPr>
          <w:rFonts w:ascii="仿宋" w:eastAsia="仿宋" w:hAnsi="仿宋" w:cs="Tahoma" w:hint="eastAsia"/>
          <w:kern w:val="0"/>
          <w:sz w:val="32"/>
          <w:szCs w:val="32"/>
        </w:rPr>
        <w:lastRenderedPageBreak/>
        <w:t>育教学改革的方向。同时，及时把教学质量与教学改革工程的成果，拓展应用于本科教学，扩大优质教育资源的受益面，有效促进教学方式方法的改革，进而深化教学内容和课程体系的改革，提高教学质量，使广大学生受益。</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8．改革人才培养模式，构建与教学研究型大学相适应的创新人才培养体系。通过人才培养方案的研究和修订，进一步解放思想，更新教育观念，转变人才培养思路，着力破解难题。坚持分类指导，重点解决高等教育大众化背景下的精英人才培养和应用型人才培养问题，积极探索多规格、多层次、个性化的人才培养模式。强化通识教育、改革专业教育、优化课程体系、加强实践能力培养，增强创新意识和能力，进一步优化、完善“平台＋模块”的基本框架，形成有特色的人才培养方案。坚持规模、效益、质量协调发展，提高中外合作办学和留学生教育的教学质量；把中外合作交流拓展到学科、专业、课程建设等领域，大力提高学校办学的国际化水平，培养具有中国灵魂、世界眼光的高素质人才，有效提升竞争能力。</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9．把教学方式方法的改革作为深化教学改革、提高教学质量的重要突破口和切入点。制订鼓励政策，激发广大教师的热情，致力于教学方式方法的改革创新。建立基于教师指导下的探索研究学习模式，鼓励探索“大班授课、小班讨论”的教学方式，由具有高级职称的资深教师为本科生开设小班</w:t>
      </w:r>
      <w:r w:rsidRPr="00105D14">
        <w:rPr>
          <w:rFonts w:ascii="仿宋" w:eastAsia="仿宋" w:hAnsi="仿宋" w:cs="Tahoma" w:hint="eastAsia"/>
          <w:kern w:val="0"/>
          <w:sz w:val="32"/>
          <w:szCs w:val="32"/>
        </w:rPr>
        <w:lastRenderedPageBreak/>
        <w:t>研讨课，通过引导，以师生互动、小组学习的方式，共同体验和参与研究性学习，从而建立一种教师与学生沟通的新型渠道，创造一个学生进行探究式学习的机会，探索一种以研究讨论为主的教学模式，促进创新人才培养。</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10．深入开展教育教学改革研究。坚持以教学研究推动教学改革，以教学改革促进教学实践，大力推进教育研究创新，引导广大教师在教学内容与课程体系改革、实践教学改革、人才培养模式改革、校企互动培养创新型人才等方面进行探索和研究，有针对性地研究、解决教育教学改革过程中的重大问题和疑难问题。学校采取激励措施，鼓励撰写高水平教学研究论文，力争取得一批具有标志性、示范性和推广价值的教学改革成果，不断为学校教育教学改革提供理论指导和新思路、新经验、新方法。</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11．改革教学管理制度。建立引导学生自主学习的教学管理机制，办好辅修专业和强化班，实施免试推研预备生制度，赋予优秀生转专业的自主权。改革考试内容和考试方法，推进职业证书制，实施创新学分制度，建立有利于学生创新能力发展的评价与激励机制。构建多元化的本科生导师制，拓展教师教学投入空间，促进创新人才的培养。对大学生实施分层分类指导，根据各学院、各专业的实际需要和人才培养的规格要求，实施专业导师制、社团导师制、科研导师制、社会实践导师制等专项导师制度，明确职责，严格考核，为</w:t>
      </w:r>
      <w:r w:rsidRPr="00105D14">
        <w:rPr>
          <w:rFonts w:ascii="仿宋" w:eastAsia="仿宋" w:hAnsi="仿宋" w:cs="Tahoma" w:hint="eastAsia"/>
          <w:kern w:val="0"/>
          <w:sz w:val="32"/>
          <w:szCs w:val="32"/>
        </w:rPr>
        <w:lastRenderedPageBreak/>
        <w:t>大学生个性化发展与全面成长提供良好的育人环境。同时，鼓励各学院建立高年级优秀学生与低年级学生结对互助帮扶制度。</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12．进一步加强大学生文化素质教育。把人文教育和科学教育融入人才培养的全过程之中，落实到教育教学的各环节，通过文理交叉、学科融合，实现课程的有机结合，促进大学生综合素质的全面提高。第二课堂要贴近学生的学习和生活，面向全体学生，鼓励开展以提高大学生多方面能力和扩展学生专业知识为目标的课余活动。广大教师要重视通过课内教学和课外辅导等切实提高大学生的素质，加强对学生课外活动的引导和指导。注重第一课堂和第二课堂的有机结合，积极开设文化素质教育课程，提升大学生的人文和科学素养，增强社会责任感，全面提升大学生的文化内涵和素养，着力培养具有“高尚品格、高贵精神、高雅气质、高超技能”的高素质人才。</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13．以培养创新能力为核心，构建实践教学新体系。大力加强实验、实习、实践和毕业设计（论文）等实践教学环节，特别要加强专业实习和毕业实习等重要环节。采取各种有力措施，确保学生专业实习和毕业实习的时间和质量，推进教育教学与生产劳动和社会实践的紧密结合。推进实验内容和实验模式改革和创新，培养学生的实践动手能力、分析问题和解决问题能力。不断改革实践教学内容和方法，通过</w:t>
      </w:r>
      <w:r w:rsidRPr="00105D14">
        <w:rPr>
          <w:rFonts w:ascii="仿宋" w:eastAsia="仿宋" w:hAnsi="仿宋" w:cs="Tahoma" w:hint="eastAsia"/>
          <w:kern w:val="0"/>
          <w:sz w:val="32"/>
          <w:szCs w:val="32"/>
        </w:rPr>
        <w:lastRenderedPageBreak/>
        <w:t>政策引导，吸引高水平教师从事实践教学工作。进一步完善学生参与科技创新活动的激励机制，将大学生课外科技活动纳入人才培养体系。加强产学研密切合作，拓宽大学生实践渠道，建立校企互动型实践教学基地。</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14．树立创业教育的理念，充分认识在创业教育实践中培养大学生创造性思维和创造性人格的重要性。要面向全体学生开展创业教育。以专业教育为基础，坚持分类指导的原则，系统制订和实施大学生科研训练计划、大学生创业训练计划、大学生创新计划、大学生科技竞赛计划、大学生人文素养培训计划、大学生职业技能培训计划。着重培养学生的创业知识、创业意识、创业能力与创业品质。建立和完善创业教育课程体系和教学制度。建设既有理论基础又有实践经验的高素质创业教育教师队伍。加强创业教育的理论和实践研究，出一批高水平的研究成果，指导教育教学改革工作。</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15．全面修订专业建设与发展规划。从学科建设、资源配置、市场需求、就业情况、师资队伍、学校发展等多个角度，对专业设置以及结构体系进行科学论证，形成学科和专业有效结合的机制。坚持结构、质量、规模、效益相统一的基本原则，按照“强势专业支撑学校、长线专业稳定学校、特色专业发展学校”的思路，调整专业，优化结构，在港口、造船、海洋工程、生物医药、交通、能源等新增长点的培育方面加大工作力度，掌握学校在区域高等教育发展中的主动权。</w:t>
      </w:r>
      <w:r w:rsidRPr="00105D14">
        <w:rPr>
          <w:rFonts w:ascii="仿宋" w:eastAsia="仿宋" w:hAnsi="仿宋" w:cs="Tahoma" w:hint="eastAsia"/>
          <w:kern w:val="0"/>
          <w:sz w:val="32"/>
          <w:szCs w:val="32"/>
        </w:rPr>
        <w:lastRenderedPageBreak/>
        <w:t>坚持有所为有所不为，调整社会需求少、师资力量弱、办学水平低、办学效益低下、陈旧老化的专业，进行专业更新改造或转型。控制专业总规模，正确处理好专业的学术定位和社会服务定位之间的辨证关系，在专业设置和调整过程中，强调集中优势办特色学科专业、服务地方经济和满足市场需要的思想。坚持拓宽专业口径的基本原则，增强专业的适应性，搭建通用专业平台，延伸出不同的专业方向，适应不同的社会需求。弘扬优良传统，创新体制机制，深化医学教育改革，研究和解决我校教师教育和工程教育专业的建设发展问题。</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16．加大力度，全面推进学科建设与专业建设一体化、教学团队与学术团队一体化、教学研究和学术研究一体化建设。围绕博士学位授权点建设工作，加大专业建设的力度和强度，提高专业建设的水平和质量。进一步明晰专业建设管理体系，形成校、院、系三级管理体制，建立健全有利于学科专业建设和发展的良性运行机制，把传统专业做强做优，新兴专业做出特色，全力打造新品牌，形成新优势，有效提升竞争力，形成科学合理的教学科研互动、优势互补机制，全面提升教学工作的水平和质量。</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17．进一步加强师资队伍建设。从本科教学的实际需要出发，科学合理地配备师资。完善师资管理制度，建立健全激励机制，使广大教师有充裕的时间、饱满的精力从事教学</w:t>
      </w:r>
      <w:r w:rsidRPr="00105D14">
        <w:rPr>
          <w:rFonts w:ascii="仿宋" w:eastAsia="仿宋" w:hAnsi="仿宋" w:cs="Tahoma" w:hint="eastAsia"/>
          <w:kern w:val="0"/>
          <w:sz w:val="32"/>
          <w:szCs w:val="32"/>
        </w:rPr>
        <w:lastRenderedPageBreak/>
        <w:t>改革和学术研究。对应用性专业，在有计划地安排教师到企事业单位进行实践锻炼的同时，适当引进具有实际工作经历和经验的高学历、高学位人才充实到教师队伍中，以满足人才培养模式改革的基本要求。在教师管理制度建设中，贯彻“以人为本”的理念，强化教师角色，理顺关系，推进教学科研的均衡发展。立足教师的现实生存际遇与发展要求，构建外部激励与内源发展相结合的教师发展长效机制。</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18．着力提高青年教师的教学能力和教学水平。充分发挥师资培训中心在师资队伍建设中的重要作用，建立教师培训学校，设置系列教师培训课程，以在职学习的方式，对新教师进行为期一年的系统、全面的教师教育课程培训，并进行较为系统的教学基本技能训练以及教学研究、学术研究的基本知识和能力的培训，结业考核合格者取得执教资格。建立和完善教师教学竞赛和奖励制度，建立奖励基金，举办多个层次的教师讲课竞赛活动，继续举办每年一次的青年教师讲课竞赛，同时，举办青年博士讲课竞赛、中年教师课堂教学观摩、教学名师和教授示范课等系列活动，提高教师从事本科教学的积极性和主动性，激发教学改革的热情，切实提高教学质量，使广大学生受益。</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19．进一步完善青年教师导师制，推进“青蓝工程”，实施青年教师助理教学制度。进一步发挥老教师和骨干教师的传、帮、带作用，全面实施“青蓝工程”，选聘师德高尚、教</w:t>
      </w:r>
      <w:r w:rsidRPr="00105D14">
        <w:rPr>
          <w:rFonts w:ascii="仿宋" w:eastAsia="仿宋" w:hAnsi="仿宋" w:cs="Tahoma" w:hint="eastAsia"/>
          <w:kern w:val="0"/>
          <w:sz w:val="32"/>
          <w:szCs w:val="32"/>
        </w:rPr>
        <w:lastRenderedPageBreak/>
        <w:t>学科研水平高的中老年教师，有针对性地对青年教师进行具体指导，提高青年教师的教学能力、科研能力和创新能力，帮助青年教师迅速成长。建立并完善学院、教研室、导师三级责任机制，为青年教师制定系统的培养计划，各院（系）负责协助和督促青年教师按时完成，学校组织评估检查和验收。建立青年教师助理教学制度，所有35周岁以下、无高校教学经历的新教师（不含引进的具有教师系列高级专业技术职务的高级人才），都必须要有助理教学经历，且通过为期1年的助理教学考核和课程教学团队的培养，才能取得任课资格，为本科生上课。青年教师助理教学制度由各学院组织实施，教务处审核，学校给予相关政策支持。</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20．进一步完善实验室建设规划，加大国家级和省级实验教学示范中心建设的力度，加快建设工程训练中心，提高文科实验室的建设水平，不断改善实验教学条件。积极拓展实验室建设渠道，加大投入，强化资源整合，提高投资效益，形成“全体教师共同参与、学科与平台建设互相支撑、教学与科研良性互动、学校与企业联手共建”的实验室建设新模式。坚持高起点规划、高标准建设、高强度投入、高水平管理、高效益辐射，突出重点、凝练特色、增强实力，以示范中心建设为龙头，带动全校实验室工作良性发展，提升层次，提高水平。</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lastRenderedPageBreak/>
        <w:t>21．加强实验教学队伍建设。加强理论教学和实验教学的紧密结合和互动交流，发挥人才、知识、技术集聚优势，推动实验教学改革。鼓励教授进实验室，讲实验课，采取有力措施，培养一批实验教学带头人，稳定实验教学骨干队伍。引进具有工程背景的实验技术人才，按照引进与培养相结合、专职与兼职相结合、校内与校外相结合的原则，充实实验教学队伍的数量，提升实验教学队伍的素质，为提高实验教学质量提供有力保障。</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22．大力推广现代教育技术。积极构建信息化公共服务平台，以精品课程建设为抓手，加快网络课程建设步伐，丰富网上优质教学资源库；鼓励教师充分利用网络教学平台开展远程辅导，与学生网上交流互动，引导学生信息化学习、自主学习和研究性学习，促进学生个性化发展；精心建设教学管理网络平台，变静态教学管理为动态管理、过程管理；建立教师教育技术轮训的长效机制。将教师教育技术的定期轮训纳入学校教师培训体系，尤其要加强对精品课程建设负责人、骨干教师的有关现代教育思想、现代教育技术理念的培训，加强对新进教师的有关教育技术基本应用能力的培训，并将培训与职称晋升、职务聘任、年度考核、教师上岗等挂钩。</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23．转变评估理念，建立完善服务型评估制度。认真总结教学工作评估的经验，着力构建内部教学质量保障体系，</w:t>
      </w:r>
      <w:r w:rsidRPr="00105D14">
        <w:rPr>
          <w:rFonts w:ascii="仿宋" w:eastAsia="仿宋" w:hAnsi="仿宋" w:cs="Tahoma" w:hint="eastAsia"/>
          <w:kern w:val="0"/>
          <w:sz w:val="32"/>
          <w:szCs w:val="32"/>
        </w:rPr>
        <w:lastRenderedPageBreak/>
        <w:t>建立和完善长效机制。有计划地开展校内评估工作，积极探索评估方法的多元化；将评估的重心从硬件建设转向软件建设；从重过程检查转向重目标控制；从以组织专家考察为主转向数据库信息监控。更加重视教育教学改革成果、人才培养成效、办学效益和体制机制创新；更加重视评估结论的导向性和客观性。进一步完善教学状态数据库，积极开展质量审核和专业认证的准备工作，坚持教学评估服务于学生，有利于学生成才，以学生学习的成效为目标，使全体学生受益；要建立服务型评估制度，主动服务于本科教学和学科专业建设；要树立以教师发展为本的评价理念，构建以学生评价、同行评价、领导评价、督导评价为主体的，多元化、立体化的教学质量考核体系，正确处理业绩评价和发展性评价之间的关系，以实现教师个人与学校共同发展和提高的目标。</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24．进一步强化高校思想政治理论课在大学生思想政治教育中的主渠道地位。以学科建设为基础，以教师队伍建设为重点，以教学方法创新为关键，以加强组织领导为保障，进一步推进高校思想政治理论课建设。积极探索新的教育教学思路和方法，创新教学模式、考试模式、评价体系和管理体制，把思想政治理论课建设成为大学生真心喜爱、终身受益的优秀课程。加强廉政文化建设，开设廉政文化课程，实施廉政文化教育，在此基础上，开展廉政文化课程建设和教材建设，打造品牌特色。</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lastRenderedPageBreak/>
        <w:t>25．进一步加强学风建设。构建党委统一领导、党政群团齐抓共管、全体教职员工全员育人、全方位育人和全过程育人的工作机制。针对当前学风建设中存在的问题，坚持从严治学、从严治教，以教风带学风，以考风促学风，以环境育学风，以养成学生良好的学习习惯为重点，以强化学生理论基础、科学文化、意志品质、社会适应能力为基础，以建立长效机制为保障，标本兼治，齐抓共管，通过教育引导强化学生的学习主体意识，让学生投身学习，努力营造优良的学习氛围和育人环境，进一步提升学风建设的水平。</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26．建立教学经费投入保证机制，加大对教学工作的经费投入，切实保证教学运行需要。严格按照教育部《关于进一步加强高等学校本科教学工作的若干意见》有关规定，逐年增加本科生业务费、教学差旅费、体育维持费和教学仪器设备维修费等四项经费的投入，逐步增加日常教学运行经费，特别是学生的实习实践经费；确保教学质量工程建设项目经费足额到位；加大对实验实践、图书资料以及文科类实验室的经费投入，全面改善教学运行环境。</w:t>
      </w:r>
    </w:p>
    <w:p w:rsidR="00105D14" w:rsidRPr="00105D14" w:rsidRDefault="00105D14" w:rsidP="00105D14">
      <w:pPr>
        <w:widowControl/>
        <w:ind w:firstLine="632"/>
        <w:jc w:val="left"/>
        <w:rPr>
          <w:rFonts w:ascii="Tahoma" w:eastAsia="宋体" w:hAnsi="Tahoma" w:cs="Tahoma"/>
          <w:kern w:val="0"/>
          <w:szCs w:val="21"/>
        </w:rPr>
      </w:pPr>
      <w:r w:rsidRPr="00105D14">
        <w:rPr>
          <w:rFonts w:ascii="仿宋" w:eastAsia="仿宋" w:hAnsi="仿宋" w:cs="Tahoma" w:hint="eastAsia"/>
          <w:kern w:val="0"/>
          <w:sz w:val="32"/>
          <w:szCs w:val="32"/>
        </w:rPr>
        <w:t>27．进一步稳定教学管理队伍。按照本科教学工作的基本规范和教学运行的实际需要，根据《高等学校教学管理要点》中的有关要求和规定，科学合理地设置教学管理岗位，配备较强的管理干部队伍，</w:t>
      </w:r>
      <w:r w:rsidRPr="00105D14">
        <w:rPr>
          <w:rFonts w:ascii="仿宋" w:eastAsia="仿宋" w:hAnsi="仿宋" w:cs="Tahoma" w:hint="eastAsia"/>
          <w:color w:val="000000"/>
          <w:kern w:val="0"/>
          <w:sz w:val="32"/>
          <w:szCs w:val="32"/>
        </w:rPr>
        <w:t>优化教学管理人员结构，</w:t>
      </w:r>
      <w:r w:rsidRPr="00105D14">
        <w:rPr>
          <w:rFonts w:ascii="仿宋" w:eastAsia="仿宋" w:hAnsi="仿宋" w:cs="Tahoma" w:hint="eastAsia"/>
          <w:kern w:val="0"/>
          <w:sz w:val="32"/>
          <w:szCs w:val="32"/>
        </w:rPr>
        <w:t>明确教学管理责任，不断提高管理水平和工作质量。进一步加强教</w:t>
      </w:r>
      <w:r w:rsidRPr="00105D14">
        <w:rPr>
          <w:rFonts w:ascii="仿宋" w:eastAsia="仿宋" w:hAnsi="仿宋" w:cs="Tahoma" w:hint="eastAsia"/>
          <w:kern w:val="0"/>
          <w:sz w:val="32"/>
          <w:szCs w:val="32"/>
        </w:rPr>
        <w:lastRenderedPageBreak/>
        <w:t>学管理队伍作风建设，</w:t>
      </w:r>
      <w:r w:rsidRPr="00105D14">
        <w:rPr>
          <w:rFonts w:ascii="仿宋" w:eastAsia="仿宋" w:hAnsi="仿宋" w:cs="Tahoma" w:hint="eastAsia"/>
          <w:color w:val="000000"/>
          <w:kern w:val="0"/>
          <w:sz w:val="32"/>
          <w:szCs w:val="32"/>
        </w:rPr>
        <w:t>继续强化质量意识、服务意识、创新意识；完善目标管理，实行任期目标考核和绩效考核，全面提升管理水平和管理质量。充分发挥教学管理人员的工作主动性和积极性，切实解决管理队伍的岗位设置、职务晋升、津贴待遇等方面的问题，稳定教学管理队伍。</w:t>
      </w:r>
    </w:p>
    <w:p w:rsidR="00105D14" w:rsidRPr="00105D14" w:rsidRDefault="00105D14" w:rsidP="00105D14">
      <w:pPr>
        <w:widowControl/>
        <w:jc w:val="center"/>
        <w:rPr>
          <w:rFonts w:ascii="Tahoma" w:eastAsia="宋体" w:hAnsi="Tahoma" w:cs="Tahoma"/>
          <w:kern w:val="0"/>
          <w:szCs w:val="21"/>
        </w:rPr>
      </w:pPr>
      <w:r w:rsidRPr="00105D14">
        <w:rPr>
          <w:rFonts w:ascii="仿宋" w:eastAsia="仿宋" w:hAnsi="仿宋" w:cs="Tahoma" w:hint="eastAsia"/>
          <w:kern w:val="0"/>
          <w:sz w:val="32"/>
          <w:szCs w:val="32"/>
        </w:rPr>
        <w:t> </w:t>
      </w:r>
    </w:p>
    <w:p w:rsidR="00105D14" w:rsidRPr="00105D14" w:rsidRDefault="00105D14" w:rsidP="00105D14">
      <w:pPr>
        <w:widowControl/>
        <w:spacing w:line="540" w:lineRule="atLeast"/>
        <w:ind w:firstLine="632"/>
        <w:jc w:val="left"/>
        <w:rPr>
          <w:rFonts w:ascii="Tahoma" w:eastAsia="宋体" w:hAnsi="Tahoma" w:cs="Tahoma"/>
          <w:kern w:val="0"/>
          <w:szCs w:val="21"/>
        </w:rPr>
      </w:pPr>
      <w:r w:rsidRPr="00105D14">
        <w:rPr>
          <w:rFonts w:ascii="仿宋" w:eastAsia="仿宋" w:hAnsi="仿宋" w:cs="Tahoma" w:hint="eastAsia"/>
          <w:kern w:val="0"/>
          <w:sz w:val="32"/>
          <w:szCs w:val="32"/>
        </w:rPr>
        <w:t> </w:t>
      </w:r>
    </w:p>
    <w:p w:rsidR="00105D14" w:rsidRPr="00105D14" w:rsidRDefault="00105D14" w:rsidP="00105D14">
      <w:pPr>
        <w:widowControl/>
        <w:spacing w:line="540" w:lineRule="atLeast"/>
        <w:jc w:val="left"/>
        <w:rPr>
          <w:rFonts w:ascii="Tahoma" w:eastAsia="宋体" w:hAnsi="Tahoma" w:cs="Tahoma"/>
          <w:kern w:val="0"/>
          <w:szCs w:val="21"/>
        </w:rPr>
      </w:pPr>
      <w:r w:rsidRPr="00105D14">
        <w:rPr>
          <w:rFonts w:ascii="仿宋" w:eastAsia="仿宋" w:hAnsi="仿宋" w:cs="Tahoma" w:hint="eastAsia"/>
          <w:kern w:val="0"/>
          <w:sz w:val="32"/>
          <w:szCs w:val="32"/>
        </w:rPr>
        <w:t>                         二○一○年一月二十六日</w:t>
      </w:r>
    </w:p>
    <w:p w:rsidR="00102502" w:rsidRPr="00105D14" w:rsidRDefault="00102502">
      <w:pPr>
        <w:rPr>
          <w:rFonts w:hint="eastAsia"/>
        </w:rPr>
      </w:pPr>
    </w:p>
    <w:sectPr w:rsidR="00102502" w:rsidRPr="00105D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仿宋">
    <w:altName w:val="Arial Unicode MS"/>
    <w:charset w:val="50"/>
    <w:family w:val="auto"/>
    <w:pitch w:val="variable"/>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D14"/>
    <w:rsid w:val="00102502"/>
    <w:rsid w:val="00105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912139">
      <w:bodyDiv w:val="1"/>
      <w:marLeft w:val="0"/>
      <w:marRight w:val="0"/>
      <w:marTop w:val="0"/>
      <w:marBottom w:val="0"/>
      <w:divBdr>
        <w:top w:val="none" w:sz="0" w:space="0" w:color="auto"/>
        <w:left w:val="none" w:sz="0" w:space="0" w:color="auto"/>
        <w:bottom w:val="none" w:sz="0" w:space="0" w:color="auto"/>
        <w:right w:val="none" w:sz="0" w:space="0" w:color="auto"/>
      </w:divBdr>
      <w:divsChild>
        <w:div w:id="425006054">
          <w:marLeft w:val="0"/>
          <w:marRight w:val="0"/>
          <w:marTop w:val="0"/>
          <w:marBottom w:val="0"/>
          <w:divBdr>
            <w:top w:val="none" w:sz="0" w:space="0" w:color="auto"/>
            <w:left w:val="none" w:sz="0" w:space="0" w:color="auto"/>
            <w:bottom w:val="none" w:sz="0" w:space="0" w:color="auto"/>
            <w:right w:val="none" w:sz="0" w:space="0" w:color="auto"/>
          </w:divBdr>
        </w:div>
        <w:div w:id="1774403020">
          <w:marLeft w:val="0"/>
          <w:marRight w:val="0"/>
          <w:marTop w:val="0"/>
          <w:marBottom w:val="0"/>
          <w:divBdr>
            <w:top w:val="none" w:sz="0" w:space="0" w:color="auto"/>
            <w:left w:val="none" w:sz="0" w:space="0" w:color="auto"/>
            <w:bottom w:val="none" w:sz="0" w:space="0" w:color="auto"/>
            <w:right w:val="none" w:sz="0" w:space="0" w:color="auto"/>
          </w:divBdr>
        </w:div>
        <w:div w:id="1300498898">
          <w:marLeft w:val="0"/>
          <w:marRight w:val="0"/>
          <w:marTop w:val="0"/>
          <w:marBottom w:val="0"/>
          <w:divBdr>
            <w:top w:val="none" w:sz="0" w:space="0" w:color="auto"/>
            <w:left w:val="none" w:sz="0" w:space="0" w:color="auto"/>
            <w:bottom w:val="none" w:sz="0" w:space="0" w:color="auto"/>
            <w:right w:val="none" w:sz="0" w:space="0" w:color="auto"/>
          </w:divBdr>
        </w:div>
        <w:div w:id="1195189355">
          <w:marLeft w:val="0"/>
          <w:marRight w:val="0"/>
          <w:marTop w:val="0"/>
          <w:marBottom w:val="0"/>
          <w:divBdr>
            <w:top w:val="none" w:sz="0" w:space="0" w:color="auto"/>
            <w:left w:val="none" w:sz="0" w:space="0" w:color="auto"/>
            <w:bottom w:val="none" w:sz="0" w:space="0" w:color="auto"/>
            <w:right w:val="none" w:sz="0" w:space="0" w:color="auto"/>
          </w:divBdr>
        </w:div>
        <w:div w:id="916480491">
          <w:marLeft w:val="0"/>
          <w:marRight w:val="0"/>
          <w:marTop w:val="0"/>
          <w:marBottom w:val="0"/>
          <w:divBdr>
            <w:top w:val="none" w:sz="0" w:space="0" w:color="auto"/>
            <w:left w:val="none" w:sz="0" w:space="0" w:color="auto"/>
            <w:bottom w:val="none" w:sz="0" w:space="0" w:color="auto"/>
            <w:right w:val="none" w:sz="0" w:space="0" w:color="auto"/>
          </w:divBdr>
        </w:div>
        <w:div w:id="526021414">
          <w:marLeft w:val="0"/>
          <w:marRight w:val="0"/>
          <w:marTop w:val="0"/>
          <w:marBottom w:val="0"/>
          <w:divBdr>
            <w:top w:val="none" w:sz="0" w:space="0" w:color="auto"/>
            <w:left w:val="none" w:sz="0" w:space="0" w:color="auto"/>
            <w:bottom w:val="none" w:sz="0" w:space="0" w:color="auto"/>
            <w:right w:val="none" w:sz="0" w:space="0" w:color="auto"/>
          </w:divBdr>
        </w:div>
        <w:div w:id="674847235">
          <w:marLeft w:val="0"/>
          <w:marRight w:val="0"/>
          <w:marTop w:val="0"/>
          <w:marBottom w:val="0"/>
          <w:divBdr>
            <w:top w:val="none" w:sz="0" w:space="0" w:color="auto"/>
            <w:left w:val="none" w:sz="0" w:space="0" w:color="auto"/>
            <w:bottom w:val="none" w:sz="0" w:space="0" w:color="auto"/>
            <w:right w:val="none" w:sz="0" w:space="0" w:color="auto"/>
          </w:divBdr>
        </w:div>
        <w:div w:id="1499034511">
          <w:marLeft w:val="0"/>
          <w:marRight w:val="0"/>
          <w:marTop w:val="0"/>
          <w:marBottom w:val="0"/>
          <w:divBdr>
            <w:top w:val="none" w:sz="0" w:space="0" w:color="auto"/>
            <w:left w:val="none" w:sz="0" w:space="0" w:color="auto"/>
            <w:bottom w:val="none" w:sz="0" w:space="0" w:color="auto"/>
            <w:right w:val="none" w:sz="0" w:space="0" w:color="auto"/>
          </w:divBdr>
        </w:div>
        <w:div w:id="1894000057">
          <w:marLeft w:val="0"/>
          <w:marRight w:val="0"/>
          <w:marTop w:val="0"/>
          <w:marBottom w:val="0"/>
          <w:divBdr>
            <w:top w:val="none" w:sz="0" w:space="0" w:color="auto"/>
            <w:left w:val="none" w:sz="0" w:space="0" w:color="auto"/>
            <w:bottom w:val="none" w:sz="0" w:space="0" w:color="auto"/>
            <w:right w:val="none" w:sz="0" w:space="0" w:color="auto"/>
          </w:divBdr>
        </w:div>
        <w:div w:id="811094178">
          <w:marLeft w:val="0"/>
          <w:marRight w:val="0"/>
          <w:marTop w:val="0"/>
          <w:marBottom w:val="0"/>
          <w:divBdr>
            <w:top w:val="none" w:sz="0" w:space="0" w:color="auto"/>
            <w:left w:val="none" w:sz="0" w:space="0" w:color="auto"/>
            <w:bottom w:val="none" w:sz="0" w:space="0" w:color="auto"/>
            <w:right w:val="none" w:sz="0" w:space="0" w:color="auto"/>
          </w:divBdr>
        </w:div>
        <w:div w:id="1987739325">
          <w:marLeft w:val="0"/>
          <w:marRight w:val="0"/>
          <w:marTop w:val="0"/>
          <w:marBottom w:val="0"/>
          <w:divBdr>
            <w:top w:val="none" w:sz="0" w:space="0" w:color="auto"/>
            <w:left w:val="none" w:sz="0" w:space="0" w:color="auto"/>
            <w:bottom w:val="none" w:sz="0" w:space="0" w:color="auto"/>
            <w:right w:val="none" w:sz="0" w:space="0" w:color="auto"/>
          </w:divBdr>
        </w:div>
        <w:div w:id="1486167684">
          <w:marLeft w:val="0"/>
          <w:marRight w:val="0"/>
          <w:marTop w:val="0"/>
          <w:marBottom w:val="0"/>
          <w:divBdr>
            <w:top w:val="none" w:sz="0" w:space="0" w:color="auto"/>
            <w:left w:val="none" w:sz="0" w:space="0" w:color="auto"/>
            <w:bottom w:val="none" w:sz="0" w:space="0" w:color="auto"/>
            <w:right w:val="none" w:sz="0" w:space="0" w:color="auto"/>
          </w:divBdr>
        </w:div>
        <w:div w:id="873269508">
          <w:marLeft w:val="0"/>
          <w:marRight w:val="0"/>
          <w:marTop w:val="0"/>
          <w:marBottom w:val="0"/>
          <w:divBdr>
            <w:top w:val="none" w:sz="0" w:space="0" w:color="auto"/>
            <w:left w:val="none" w:sz="0" w:space="0" w:color="auto"/>
            <w:bottom w:val="none" w:sz="0" w:space="0" w:color="auto"/>
            <w:right w:val="none" w:sz="0" w:space="0" w:color="auto"/>
          </w:divBdr>
        </w:div>
        <w:div w:id="1994095834">
          <w:marLeft w:val="0"/>
          <w:marRight w:val="0"/>
          <w:marTop w:val="0"/>
          <w:marBottom w:val="0"/>
          <w:divBdr>
            <w:top w:val="none" w:sz="0" w:space="0" w:color="auto"/>
            <w:left w:val="none" w:sz="0" w:space="0" w:color="auto"/>
            <w:bottom w:val="none" w:sz="0" w:space="0" w:color="auto"/>
            <w:right w:val="none" w:sz="0" w:space="0" w:color="auto"/>
          </w:divBdr>
        </w:div>
        <w:div w:id="1670863968">
          <w:marLeft w:val="0"/>
          <w:marRight w:val="0"/>
          <w:marTop w:val="0"/>
          <w:marBottom w:val="0"/>
          <w:divBdr>
            <w:top w:val="none" w:sz="0" w:space="0" w:color="auto"/>
            <w:left w:val="none" w:sz="0" w:space="0" w:color="auto"/>
            <w:bottom w:val="none" w:sz="0" w:space="0" w:color="auto"/>
            <w:right w:val="none" w:sz="0" w:space="0" w:color="auto"/>
          </w:divBdr>
        </w:div>
        <w:div w:id="1666519500">
          <w:marLeft w:val="0"/>
          <w:marRight w:val="0"/>
          <w:marTop w:val="0"/>
          <w:marBottom w:val="0"/>
          <w:divBdr>
            <w:top w:val="none" w:sz="0" w:space="0" w:color="auto"/>
            <w:left w:val="none" w:sz="0" w:space="0" w:color="auto"/>
            <w:bottom w:val="none" w:sz="0" w:space="0" w:color="auto"/>
            <w:right w:val="none" w:sz="0" w:space="0" w:color="auto"/>
          </w:divBdr>
        </w:div>
        <w:div w:id="1325668471">
          <w:marLeft w:val="0"/>
          <w:marRight w:val="0"/>
          <w:marTop w:val="0"/>
          <w:marBottom w:val="0"/>
          <w:divBdr>
            <w:top w:val="none" w:sz="0" w:space="0" w:color="auto"/>
            <w:left w:val="none" w:sz="0" w:space="0" w:color="auto"/>
            <w:bottom w:val="none" w:sz="0" w:space="0" w:color="auto"/>
            <w:right w:val="none" w:sz="0" w:space="0" w:color="auto"/>
          </w:divBdr>
        </w:div>
        <w:div w:id="707796455">
          <w:marLeft w:val="0"/>
          <w:marRight w:val="0"/>
          <w:marTop w:val="0"/>
          <w:marBottom w:val="0"/>
          <w:divBdr>
            <w:top w:val="none" w:sz="0" w:space="0" w:color="auto"/>
            <w:left w:val="none" w:sz="0" w:space="0" w:color="auto"/>
            <w:bottom w:val="none" w:sz="0" w:space="0" w:color="auto"/>
            <w:right w:val="none" w:sz="0" w:space="0" w:color="auto"/>
          </w:divBdr>
        </w:div>
        <w:div w:id="951471211">
          <w:marLeft w:val="0"/>
          <w:marRight w:val="0"/>
          <w:marTop w:val="0"/>
          <w:marBottom w:val="0"/>
          <w:divBdr>
            <w:top w:val="none" w:sz="0" w:space="0" w:color="auto"/>
            <w:left w:val="none" w:sz="0" w:space="0" w:color="auto"/>
            <w:bottom w:val="none" w:sz="0" w:space="0" w:color="auto"/>
            <w:right w:val="none" w:sz="0" w:space="0" w:color="auto"/>
          </w:divBdr>
        </w:div>
        <w:div w:id="1220828205">
          <w:marLeft w:val="0"/>
          <w:marRight w:val="0"/>
          <w:marTop w:val="0"/>
          <w:marBottom w:val="0"/>
          <w:divBdr>
            <w:top w:val="none" w:sz="0" w:space="0" w:color="auto"/>
            <w:left w:val="none" w:sz="0" w:space="0" w:color="auto"/>
            <w:bottom w:val="none" w:sz="0" w:space="0" w:color="auto"/>
            <w:right w:val="none" w:sz="0" w:space="0" w:color="auto"/>
          </w:divBdr>
        </w:div>
        <w:div w:id="1150444428">
          <w:marLeft w:val="0"/>
          <w:marRight w:val="0"/>
          <w:marTop w:val="0"/>
          <w:marBottom w:val="0"/>
          <w:divBdr>
            <w:top w:val="none" w:sz="0" w:space="0" w:color="auto"/>
            <w:left w:val="none" w:sz="0" w:space="0" w:color="auto"/>
            <w:bottom w:val="none" w:sz="0" w:space="0" w:color="auto"/>
            <w:right w:val="none" w:sz="0" w:space="0" w:color="auto"/>
          </w:divBdr>
        </w:div>
        <w:div w:id="592277979">
          <w:marLeft w:val="0"/>
          <w:marRight w:val="0"/>
          <w:marTop w:val="0"/>
          <w:marBottom w:val="0"/>
          <w:divBdr>
            <w:top w:val="none" w:sz="0" w:space="0" w:color="auto"/>
            <w:left w:val="none" w:sz="0" w:space="0" w:color="auto"/>
            <w:bottom w:val="none" w:sz="0" w:space="0" w:color="auto"/>
            <w:right w:val="none" w:sz="0" w:space="0" w:color="auto"/>
          </w:divBdr>
        </w:div>
        <w:div w:id="118305404">
          <w:marLeft w:val="0"/>
          <w:marRight w:val="0"/>
          <w:marTop w:val="0"/>
          <w:marBottom w:val="0"/>
          <w:divBdr>
            <w:top w:val="none" w:sz="0" w:space="0" w:color="auto"/>
            <w:left w:val="none" w:sz="0" w:space="0" w:color="auto"/>
            <w:bottom w:val="none" w:sz="0" w:space="0" w:color="auto"/>
            <w:right w:val="none" w:sz="0" w:space="0" w:color="auto"/>
          </w:divBdr>
        </w:div>
        <w:div w:id="1628193551">
          <w:marLeft w:val="0"/>
          <w:marRight w:val="0"/>
          <w:marTop w:val="0"/>
          <w:marBottom w:val="0"/>
          <w:divBdr>
            <w:top w:val="none" w:sz="0" w:space="0" w:color="auto"/>
            <w:left w:val="none" w:sz="0" w:space="0" w:color="auto"/>
            <w:bottom w:val="none" w:sz="0" w:space="0" w:color="auto"/>
            <w:right w:val="none" w:sz="0" w:space="0" w:color="auto"/>
          </w:divBdr>
        </w:div>
        <w:div w:id="1032070512">
          <w:marLeft w:val="0"/>
          <w:marRight w:val="0"/>
          <w:marTop w:val="0"/>
          <w:marBottom w:val="0"/>
          <w:divBdr>
            <w:top w:val="none" w:sz="0" w:space="0" w:color="auto"/>
            <w:left w:val="none" w:sz="0" w:space="0" w:color="auto"/>
            <w:bottom w:val="none" w:sz="0" w:space="0" w:color="auto"/>
            <w:right w:val="none" w:sz="0" w:space="0" w:color="auto"/>
          </w:divBdr>
        </w:div>
        <w:div w:id="1217006662">
          <w:marLeft w:val="0"/>
          <w:marRight w:val="0"/>
          <w:marTop w:val="0"/>
          <w:marBottom w:val="0"/>
          <w:divBdr>
            <w:top w:val="none" w:sz="0" w:space="0" w:color="auto"/>
            <w:left w:val="none" w:sz="0" w:space="0" w:color="auto"/>
            <w:bottom w:val="none" w:sz="0" w:space="0" w:color="auto"/>
            <w:right w:val="none" w:sz="0" w:space="0" w:color="auto"/>
          </w:divBdr>
        </w:div>
        <w:div w:id="1827013971">
          <w:marLeft w:val="0"/>
          <w:marRight w:val="0"/>
          <w:marTop w:val="0"/>
          <w:marBottom w:val="0"/>
          <w:divBdr>
            <w:top w:val="none" w:sz="0" w:space="0" w:color="auto"/>
            <w:left w:val="none" w:sz="0" w:space="0" w:color="auto"/>
            <w:bottom w:val="none" w:sz="0" w:space="0" w:color="auto"/>
            <w:right w:val="none" w:sz="0" w:space="0" w:color="auto"/>
          </w:divBdr>
        </w:div>
        <w:div w:id="1021055004">
          <w:marLeft w:val="0"/>
          <w:marRight w:val="0"/>
          <w:marTop w:val="0"/>
          <w:marBottom w:val="0"/>
          <w:divBdr>
            <w:top w:val="none" w:sz="0" w:space="0" w:color="auto"/>
            <w:left w:val="none" w:sz="0" w:space="0" w:color="auto"/>
            <w:bottom w:val="none" w:sz="0" w:space="0" w:color="auto"/>
            <w:right w:val="none" w:sz="0" w:space="0" w:color="auto"/>
          </w:divBdr>
        </w:div>
        <w:div w:id="32465560">
          <w:marLeft w:val="0"/>
          <w:marRight w:val="0"/>
          <w:marTop w:val="0"/>
          <w:marBottom w:val="0"/>
          <w:divBdr>
            <w:top w:val="none" w:sz="0" w:space="0" w:color="auto"/>
            <w:left w:val="none" w:sz="0" w:space="0" w:color="auto"/>
            <w:bottom w:val="none" w:sz="0" w:space="0" w:color="auto"/>
            <w:right w:val="none" w:sz="0" w:space="0" w:color="auto"/>
          </w:divBdr>
        </w:div>
        <w:div w:id="264966905">
          <w:marLeft w:val="0"/>
          <w:marRight w:val="0"/>
          <w:marTop w:val="0"/>
          <w:marBottom w:val="0"/>
          <w:divBdr>
            <w:top w:val="none" w:sz="0" w:space="0" w:color="auto"/>
            <w:left w:val="none" w:sz="0" w:space="0" w:color="auto"/>
            <w:bottom w:val="none" w:sz="0" w:space="0" w:color="auto"/>
            <w:right w:val="none" w:sz="0" w:space="0" w:color="auto"/>
          </w:divBdr>
        </w:div>
        <w:div w:id="2000619998">
          <w:marLeft w:val="0"/>
          <w:marRight w:val="0"/>
          <w:marTop w:val="0"/>
          <w:marBottom w:val="0"/>
          <w:divBdr>
            <w:top w:val="none" w:sz="0" w:space="0" w:color="auto"/>
            <w:left w:val="none" w:sz="0" w:space="0" w:color="auto"/>
            <w:bottom w:val="none" w:sz="0" w:space="0" w:color="auto"/>
            <w:right w:val="none" w:sz="0" w:space="0" w:color="auto"/>
          </w:divBdr>
        </w:div>
        <w:div w:id="235209051">
          <w:marLeft w:val="0"/>
          <w:marRight w:val="0"/>
          <w:marTop w:val="0"/>
          <w:marBottom w:val="0"/>
          <w:divBdr>
            <w:top w:val="none" w:sz="0" w:space="0" w:color="auto"/>
            <w:left w:val="none" w:sz="0" w:space="0" w:color="auto"/>
            <w:bottom w:val="none" w:sz="0" w:space="0" w:color="auto"/>
            <w:right w:val="none" w:sz="0" w:space="0" w:color="auto"/>
          </w:divBdr>
        </w:div>
        <w:div w:id="132985050">
          <w:marLeft w:val="0"/>
          <w:marRight w:val="0"/>
          <w:marTop w:val="0"/>
          <w:marBottom w:val="0"/>
          <w:divBdr>
            <w:top w:val="none" w:sz="0" w:space="0" w:color="auto"/>
            <w:left w:val="none" w:sz="0" w:space="0" w:color="auto"/>
            <w:bottom w:val="none" w:sz="0" w:space="0" w:color="auto"/>
            <w:right w:val="none" w:sz="0" w:space="0" w:color="auto"/>
          </w:divBdr>
        </w:div>
        <w:div w:id="861359225">
          <w:marLeft w:val="0"/>
          <w:marRight w:val="0"/>
          <w:marTop w:val="0"/>
          <w:marBottom w:val="0"/>
          <w:divBdr>
            <w:top w:val="none" w:sz="0" w:space="0" w:color="auto"/>
            <w:left w:val="none" w:sz="0" w:space="0" w:color="auto"/>
            <w:bottom w:val="none" w:sz="0" w:space="0" w:color="auto"/>
            <w:right w:val="none" w:sz="0" w:space="0" w:color="auto"/>
          </w:divBdr>
        </w:div>
        <w:div w:id="1872569085">
          <w:marLeft w:val="0"/>
          <w:marRight w:val="0"/>
          <w:marTop w:val="0"/>
          <w:marBottom w:val="0"/>
          <w:divBdr>
            <w:top w:val="none" w:sz="0" w:space="0" w:color="auto"/>
            <w:left w:val="none" w:sz="0" w:space="0" w:color="auto"/>
            <w:bottom w:val="none" w:sz="0" w:space="0" w:color="auto"/>
            <w:right w:val="none" w:sz="0" w:space="0" w:color="auto"/>
          </w:divBdr>
        </w:div>
        <w:div w:id="1448621882">
          <w:marLeft w:val="0"/>
          <w:marRight w:val="0"/>
          <w:marTop w:val="0"/>
          <w:marBottom w:val="0"/>
          <w:divBdr>
            <w:top w:val="none" w:sz="0" w:space="0" w:color="auto"/>
            <w:left w:val="none" w:sz="0" w:space="0" w:color="auto"/>
            <w:bottom w:val="none" w:sz="0" w:space="0" w:color="auto"/>
            <w:right w:val="none" w:sz="0" w:space="0" w:color="auto"/>
          </w:divBdr>
        </w:div>
        <w:div w:id="922683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1128</Words>
  <Characters>6434</Characters>
  <Application>Microsoft Office Word</Application>
  <DocSecurity>0</DocSecurity>
  <Lines>53</Lines>
  <Paragraphs>15</Paragraphs>
  <ScaleCrop>false</ScaleCrop>
  <Company>微软中国</Company>
  <LinksUpToDate>false</LinksUpToDate>
  <CharactersWithSpaces>7547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1</cp:revision>
  <dcterms:created xsi:type="dcterms:W3CDTF">2016-02-25T02:22:00Z</dcterms:created>
  <dcterms:modified xsi:type="dcterms:W3CDTF">2016-02-25T02:23:00Z</dcterms:modified>
</cp:coreProperties>
</file>